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4040" w:right="40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pt;height:77pt">
            <v:imagedata r:id="rId4" o:title=""/>
            <o:lock v:ext="edit" aspectratio="f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MARCHÉ PUBLIC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ACQUISITION D'UN GRANULOMETRE (CDP)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Université Clermont Auvergne 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49 Boulevard François Mitterrand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CS 60032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63000 CLERMONT-FERRAND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ACQUISITION D'UN GRANULOMETRE (CDP)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Procédure adaptée ouverte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Marché public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 forfaitaires et 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32" w:lineRule="exact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_Toc256000002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_Toc256000003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_Toc256000004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_Toc256000005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_Toc256000006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_Toc256000007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_Toc256000008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8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_Toc256000009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9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9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9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_Toc256000012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13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Nom de l'organisme :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Université Clermont Auvergne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Personne habilitée à donner les renseignements relatifs aux nantissements et cessions de créances :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 xml:space="preserve">L'agent comptable de l'Université Clermont Auvergne 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Après avoir pris connaissance des pièces constitutives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marché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indiquées à l'article "pièces contractuelles"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Cahier des clauses administratives particulières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qui fait référence au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CCAG - Fournitures Courantes et Services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L'offre ainsi présentée n'est valable toutefois que si la décision d'attribution intervient dans un délai de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180 jours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à compter de la date limite de réception des offres fixée par le règlement de la consultation.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ACQUISITION D'UN GRANULOMETRE (CDP)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Aquisition d’un granulomètre permettant la mesure en temps réel de la distribution en taille du diamètre des gouttelettes d’eau de nuages/brouillard dans le cadre du Projet PAARIOU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La procédure de passation est :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la procédure adaptée ouverte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. Elle est soumise aux dispositions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des articles L. 2123-1 et R. 2123-1 1°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Code de la commande publique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</w:t>
        <w:cr/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Le marché à tranches optionnelles sera conclu en application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des articles R. 2113-4 à R. 2113-6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Code de la commande publique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. Les prestations sont divisées en une tranche ferme et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2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tranche(s) optionnelle(s).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Les prestations seront rémunérées à la fois par application de prix forfaitaires et par application aux quantités réellement exécutées des prix unitaires fixés dans </w:t>
      </w:r>
      <w:r>
        <w:rPr>
          <w:rFonts w:ascii="Trebuchet MS" w:eastAsia="Trebuchet MS" w:hAnsi="Trebuchet MS" w:cs="Trebuchet MS"/>
          <w:b/>
          <w:i w:val="0"/>
          <w:strike w:val="0"/>
          <w:color w:val="3366CC"/>
          <w:sz w:val="20"/>
          <w:u w:val="none"/>
          <w:vertAlign w:val="baseline"/>
          <w:lang w:val="fr-FR"/>
        </w:rPr>
        <w:t>le bordereau des prix</w:t>
      </w: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.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Les prix forfaitaires et l'évaluation des prestations à exécuter sur la base des prix unitaires sont précisés dans le tableau ci-après </w:t>
      </w: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900"/>
        <w:gridCol w:w="1200"/>
        <w:gridCol w:w="1200"/>
        <w:gridCol w:w="1200"/>
        <w:gridCol w:w="31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de l'offre par tranche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Soit en toutes lettres (TTC)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TF : Acquisition de l'équipement "GRANULOMETRE"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TO001 : Extension de garantie de l'équipement "GRANULOMETRE"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TO002 : Prestations de maintenance de l'Équipement "GRANULOMETRE"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3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1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1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1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1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20" w:line="240" w:lineRule="exact"/>
        <w:rPr>
          <w:sz w:val="24"/>
        </w:r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pour la variante proposée numéro : .........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2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40" w:after="240"/>
        <w:ind w:left="500" w:right="52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6" w:id="14"/>
      <w:bookmarkEnd w:id="14"/>
      <w:bookmarkStart w:name="_Toc256000007" w:id="1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et Délais d'exécution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délai d'exécution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de chacune des tranches doit être proposé(e) par le candidat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000"/>
        <w:gridCol w:w="1800"/>
        <w:gridCol w:w="1400"/>
        <w:gridCol w:w="1400"/>
        <w:gridCol w:w="2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Date prév.</w:t>
            </w:r>
          </w:p>
          <w:p>
            <w:pPr>
              <w:bidi w:val="0"/>
              <w:spacing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Date prév.</w:t>
            </w:r>
          </w:p>
          <w:p>
            <w:pPr>
              <w:bidi w:val="0"/>
              <w:spacing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Précisions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TF : Acquisition de l'équipement "GRANULOMETRE"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0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TO001 : Extension de garantie de l'équipement "GRANULOMETRE"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0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TO002 : Prestations de maintenance de l'Équipement "GRANULOMETRE"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0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délai d'exécution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ne devra toutefois pas dépasser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300"/>
        <w:gridCol w:w="230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Délai maximum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TF : Acquisition de l'équipement "GRANULOMETRE"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12 ans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TO001 : Extension de garantie de l'équipement "GRANULOMETRE"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12 ans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TO002 : Prestations de maintenance de l'Équipement "GRANULOMETRE"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12 ans</w:t>
            </w: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pouvoir adjudicateur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8"/>
          <w:pgSz w:w="11900" w:h="16840"/>
          <w:pgMar w:top="1380" w:right="1140" w:bottom="1140" w:left="1140" w:header="1380" w:footer="1140"/>
          <w:cols w:space="708"/>
        </w:sect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Si aucune case n'est cochée, ou si les deux cases sont cochées,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pouvoir adjudicateur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considérera que seules les dispositions du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CCAP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s'appliquent.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Si aucune case n'est cochée, ou si les deux cases sont cochées,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pouvoir adjudicateur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considérera que l'entreprise renonce au bénéfice de l'avance.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Instruments de météorologie</w:t>
            </w: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nomenclature interne se décompose de la façon suivante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680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Libellé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PB.04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GRANULOMETRES LASERS ET ACCESSOIRES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PC.11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REPARATION ET MAINTENANCE DES APPAREILS DE CARACTERISATION DES MATERIAUX</w:t>
            </w: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J'affirme (nous affirmons) sous peine de résiliation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marché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des articles L. 2141-1 à L. 2141-14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Code de la commande publique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2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9"/>
          <w:pgSz w:w="11900" w:h="16840"/>
          <w:pgMar w:top="1380" w:right="1140" w:bottom="1140" w:left="1140" w:header="1380" w:footer="1140"/>
          <w:cols w:space="708"/>
        </w:sect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/>
          <w:i w:val="0"/>
          <w:strike w:val="0"/>
          <w:color w:val="3366CC"/>
          <w:sz w:val="20"/>
          <w:u w:val="singl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 xml:space="preserve">ACCEPTATION DE L'OFFRE PAR </w:t>
      </w:r>
      <w:r>
        <w:rPr>
          <w:rFonts w:ascii="Trebuchet MS" w:eastAsia="Trebuchet MS" w:hAnsi="Trebuchet MS" w:cs="Trebuchet MS"/>
          <w:b/>
          <w:i w:val="0"/>
          <w:strike w:val="0"/>
          <w:color w:val="3366CC"/>
          <w:sz w:val="20"/>
          <w:u w:val="single"/>
          <w:vertAlign w:val="baseline"/>
          <w:lang w:val="fr-FR"/>
        </w:rPr>
        <w:t>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Variante(s) acceptée(s)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Le montant global de l'offre acceptée par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le pouvoir adjudicateur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est porté à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40" w:after="240"/>
        <w:ind w:left="500" w:right="52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Signature du représentant </w:t>
      </w:r>
      <w:r>
        <w:rPr>
          <w:rFonts w:ascii="Trebuchet MS" w:eastAsia="Trebuchet MS" w:hAnsi="Trebuchet MS" w:cs="Trebuchet MS"/>
          <w:b w:val="0"/>
          <w:i w:val="0"/>
          <w:strike w:val="0"/>
          <w:color w:val="3366CC"/>
          <w:sz w:val="20"/>
          <w:u w:val="none"/>
          <w:vertAlign w:val="baseline"/>
          <w:lang w:val="fr-FR"/>
        </w:rPr>
        <w:t>du pouvoir adjudicateur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, habilité par un arrêté du 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pBdr>
          <w:bottom w:val="none" w:sz="0" w:space="0" w:color="auto"/>
        </w:pBdr>
        <w:bidi w:val="0"/>
        <w:spacing w:after="2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20"/>
          <w:pgSz w:w="11900" w:h="16840"/>
          <w:pgMar w:top="1380" w:right="1140" w:bottom="1140" w:left="1140" w:header="1380" w:footer="1140"/>
          <w:cols w:space="708"/>
        </w:sectPr>
      </w:pP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1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Signature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31B5C4" w:fill="31B5C4"/>
        <w:bidi w:val="0"/>
        <w:spacing w:after="120" w:before="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6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60" w:after="2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2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Le montant est estimatif car le marché comporte des prix unitaires </w:t>
    </w:r>
  </w:p>
  <w:p>
    <w:pPr>
      <w:pStyle w:val="PiedDePage"/>
      <w:pBdr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(2)  Pavé à répéter et à remplir par le candidat pour chaque variante proposée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Style w:val="PiedDePage"/>
      <w:pBdr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(2)  Mention facultative dans le cas d'un dépôt signé électroniquement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12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Consultation n°: 2025DAC0048L00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13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  <w:szCs w:val="24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footer8.xml" Type="http://schemas.openxmlformats.org/officeDocument/2006/relationships/footer"/><Relationship Id="rId23" Target="theme/theme1.xml" Type="http://schemas.openxmlformats.org/officeDocument/2006/relationships/theme"/><Relationship Id="rId24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